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6D023791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91A9942" w14:textId="161F2497" w:rsidR="00345941" w:rsidRDefault="00345941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13 Nerves and Muscle</w:t>
            </w:r>
          </w:p>
          <w:p w14:paraId="67BD7EC0" w14:textId="38DCCF99" w:rsidR="005F2B3F" w:rsidRPr="005F2B3F" w:rsidRDefault="004879F5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A14FA46" wp14:editId="61D2132A">
                  <wp:extent cx="971506" cy="96699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83" cy="978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3C4686E4" w:rsidR="008E39B4" w:rsidRPr="00811F13" w:rsidRDefault="004879F5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B4A952D" wp14:editId="7B482EBB">
                  <wp:extent cx="779210" cy="774065"/>
                  <wp:effectExtent l="0" t="0" r="190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39" cy="778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FB50E6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 band</w:t>
            </w:r>
          </w:p>
          <w:p w14:paraId="3FF59C5F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Acetylcholine</w:t>
            </w:r>
          </w:p>
          <w:p w14:paraId="4C7CB47D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Acetylcholinesterase</w:t>
            </w:r>
          </w:p>
          <w:p w14:paraId="6725004A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Actin</w:t>
            </w:r>
          </w:p>
          <w:p w14:paraId="118911C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Actin-myosin crossbridge</w:t>
            </w:r>
          </w:p>
          <w:p w14:paraId="527B61D8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Action potential</w:t>
            </w:r>
          </w:p>
          <w:p w14:paraId="62658CE9" w14:textId="0E63C276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Autonomic nervous system</w:t>
            </w:r>
            <w:r w:rsidRPr="004B0E6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6CDBA0A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Axon</w:t>
            </w:r>
          </w:p>
          <w:p w14:paraId="78D1EE03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 nervous system</w:t>
            </w:r>
          </w:p>
          <w:p w14:paraId="28A4DE6E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Cholinergic synapse</w:t>
            </w:r>
          </w:p>
          <w:p w14:paraId="57F5E6D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Creatine phosphate</w:t>
            </w:r>
          </w:p>
          <w:p w14:paraId="0FA4DD5C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Dendrite</w:t>
            </w:r>
          </w:p>
          <w:p w14:paraId="42CCC87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Depolarisation</w:t>
            </w:r>
          </w:p>
          <w:p w14:paraId="453295D4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Effector</w:t>
            </w:r>
          </w:p>
          <w:p w14:paraId="40AACCBE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Fast twitch fibre</w:t>
            </w:r>
          </w:p>
          <w:p w14:paraId="737D6FFC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 zone</w:t>
            </w:r>
          </w:p>
          <w:p w14:paraId="2E3E040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Hyperpolarisation</w:t>
            </w:r>
          </w:p>
          <w:p w14:paraId="1C2CF5D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Hyperpolarisation</w:t>
            </w:r>
          </w:p>
          <w:p w14:paraId="03DFA0D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 band</w:t>
            </w:r>
          </w:p>
          <w:p w14:paraId="3529C48D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Impulse</w:t>
            </w:r>
          </w:p>
          <w:p w14:paraId="4ECF8583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Ion channel</w:t>
            </w:r>
          </w:p>
          <w:p w14:paraId="0A41DD4B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Lactate</w:t>
            </w:r>
          </w:p>
          <w:p w14:paraId="1BD32C89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 line</w:t>
            </w:r>
          </w:p>
          <w:p w14:paraId="0F6056A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Medulla oblongata: </w:t>
            </w:r>
          </w:p>
          <w:p w14:paraId="7DE8A75E" w14:textId="668A65DA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Membrane potential</w:t>
            </w:r>
            <w:r w:rsidRPr="004B0E6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6169C086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Motor neurone</w:t>
            </w:r>
          </w:p>
          <w:p w14:paraId="310BCCCA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Muscle fibre</w:t>
            </w:r>
          </w:p>
          <w:p w14:paraId="2CBC41BE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Myelin</w:t>
            </w:r>
          </w:p>
          <w:p w14:paraId="4D32E021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Myofibril</w:t>
            </w:r>
          </w:p>
          <w:p w14:paraId="33CD1E1E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Myosin</w:t>
            </w:r>
          </w:p>
          <w:p w14:paraId="5F092D5A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Neuromuscular junction</w:t>
            </w:r>
          </w:p>
          <w:p w14:paraId="579B61A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Neurone</w:t>
            </w:r>
          </w:p>
          <w:p w14:paraId="7EFD6E5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Neurotransmitter</w:t>
            </w:r>
          </w:p>
          <w:p w14:paraId="5B7E4443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Node of Ranvier</w:t>
            </w:r>
          </w:p>
          <w:p w14:paraId="160D9D94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Noradrenaline</w:t>
            </w:r>
          </w:p>
          <w:p w14:paraId="2362E513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Parasympathetic nervous system</w:t>
            </w:r>
          </w:p>
          <w:p w14:paraId="23FAC71F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Peripheral nervous system</w:t>
            </w:r>
          </w:p>
          <w:p w14:paraId="66B5B319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Postsynaptic membrane</w:t>
            </w:r>
          </w:p>
          <w:p w14:paraId="63A4A0D1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Presynaptic membrane</w:t>
            </w:r>
          </w:p>
          <w:p w14:paraId="3DBA70DB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Reflex action</w:t>
            </w:r>
          </w:p>
          <w:p w14:paraId="34884FDC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Reflex arc</w:t>
            </w:r>
          </w:p>
          <w:p w14:paraId="6C6C7DA4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Refractory period</w:t>
            </w:r>
          </w:p>
          <w:p w14:paraId="191CEACD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Relay neurone </w:t>
            </w:r>
          </w:p>
          <w:p w14:paraId="0568757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Repolarisation</w:t>
            </w:r>
          </w:p>
          <w:p w14:paraId="136E4805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Resting potential</w:t>
            </w:r>
          </w:p>
          <w:p w14:paraId="08CDA4BD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Saltatory conduction</w:t>
            </w:r>
          </w:p>
          <w:p w14:paraId="54358D9F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Sarcolemma</w:t>
            </w:r>
          </w:p>
          <w:p w14:paraId="63B5446B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Sarcomere</w:t>
            </w:r>
          </w:p>
          <w:p w14:paraId="1C41B609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Sarcoplasm</w:t>
            </w:r>
          </w:p>
          <w:p w14:paraId="022CD11F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Sarcoplasmic reticulum</w:t>
            </w:r>
          </w:p>
          <w:p w14:paraId="0C5F5434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Schwann cell</w:t>
            </w:r>
            <w:r w:rsidRPr="004B0E6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02DFC60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Sensory neurone</w:t>
            </w:r>
            <w:r w:rsidRPr="004B0E6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F37C329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Skeletal muscle</w:t>
            </w:r>
          </w:p>
          <w:p w14:paraId="5946D3B6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Slow twitch fibre</w:t>
            </w:r>
          </w:p>
          <w:p w14:paraId="0D34C277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Sodium-potassium pump</w:t>
            </w:r>
          </w:p>
          <w:p w14:paraId="3C14FE70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Spatial summation</w:t>
            </w:r>
          </w:p>
          <w:p w14:paraId="0C71D2CD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Sympathetic nervous system</w:t>
            </w:r>
          </w:p>
          <w:p w14:paraId="05B0BA39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Synapse</w:t>
            </w:r>
          </w:p>
          <w:p w14:paraId="67E4D593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Synaptic cleft</w:t>
            </w:r>
          </w:p>
          <w:p w14:paraId="50E2636F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Synaptic knob</w:t>
            </w:r>
            <w:r w:rsidRPr="004B0E6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80D7CE8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Synaptic vesicles</w:t>
            </w:r>
          </w:p>
          <w:p w14:paraId="587D931E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Temporal summation</w:t>
            </w:r>
          </w:p>
          <w:p w14:paraId="6481C0A2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Threshold potential</w:t>
            </w:r>
          </w:p>
          <w:p w14:paraId="60C805C7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Tropomyosin</w:t>
            </w:r>
          </w:p>
          <w:p w14:paraId="749297F4" w14:textId="77777777" w:rsidR="004B0E61" w:rsidRPr="004B0E61" w:rsidRDefault="004B0E61" w:rsidP="0000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T-tubules</w:t>
            </w:r>
          </w:p>
          <w:p w14:paraId="36DC64BA" w14:textId="77777777" w:rsidR="004B0E61" w:rsidRPr="004B0E61" w:rsidRDefault="004B0E61" w:rsidP="004B0E6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Voltage-gated channel</w:t>
            </w:r>
          </w:p>
          <w:p w14:paraId="49147324" w14:textId="4010FB6D" w:rsidR="009F1971" w:rsidRPr="00811F13" w:rsidRDefault="004B0E61" w:rsidP="004B0E6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0E6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 line / Z disc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2BC68AA2" w:rsidR="00227ECC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roles of mammalian sensory receptors in converting different types of stimuli into nerve impulses</w:t>
            </w:r>
          </w:p>
          <w:p w14:paraId="35195AAE" w14:textId="611769C4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C253D2">
              <w:t xml:space="preserve">he structure and </w:t>
            </w:r>
            <w:r>
              <w:t xml:space="preserve">functions of sensory, relay and </w:t>
            </w:r>
            <w:r w:rsidRPr="00C253D2">
              <w:t>motor neurones</w:t>
            </w:r>
          </w:p>
          <w:p w14:paraId="0BF4CEAF" w14:textId="1D1CEB7E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generation and transmission of nerve impulses in mammals</w:t>
            </w:r>
          </w:p>
          <w:p w14:paraId="4FC740F4" w14:textId="31A7387D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C253D2">
              <w:t>he str</w:t>
            </w:r>
            <w:r>
              <w:t xml:space="preserve">ucture and roles of synapses in </w:t>
            </w:r>
            <w:r w:rsidRPr="00C253D2">
              <w:t>neurotransmission</w:t>
            </w:r>
          </w:p>
          <w:p w14:paraId="7C280395" w14:textId="5E6780E3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1C671B">
              <w:t>he organisation of the mammalian nervous</w:t>
            </w:r>
            <w:r>
              <w:t xml:space="preserve"> </w:t>
            </w:r>
            <w:r w:rsidRPr="001C671B">
              <w:t>system</w:t>
            </w:r>
          </w:p>
          <w:p w14:paraId="0C15DB5D" w14:textId="799A1F36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structure of the human brain and the functions of its parts</w:t>
            </w:r>
          </w:p>
          <w:p w14:paraId="0B54CEED" w14:textId="63EA7E6A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mechanism of reflex actions</w:t>
            </w:r>
          </w:p>
          <w:p w14:paraId="78EF615B" w14:textId="4E670D0D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structure of mammalian muscle and the mechanism of muscular contraction</w:t>
            </w:r>
          </w:p>
          <w:p w14:paraId="17A2A96B" w14:textId="7BAB102F" w:rsidR="0010136A" w:rsidRPr="0010136A" w:rsidRDefault="0010136A" w:rsidP="0010136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examination of stained sections or photomicrographs of skeletal muscle</w:t>
            </w:r>
          </w:p>
          <w:p w14:paraId="58409EB7" w14:textId="75D98C7C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35EF7AC4" w14:textId="3CEA3116" w:rsidR="00EF2BC9" w:rsidRPr="001E5A26" w:rsidRDefault="001E5A26" w:rsidP="00EF2B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Troponin and tropomyosin are often mistaken for each other in incorrect answers!</w:t>
            </w:r>
          </w:p>
          <w:p w14:paraId="7F69F274" w14:textId="6C88F9C6" w:rsidR="001E5A26" w:rsidRPr="00EF2BC9" w:rsidRDefault="001E5A26" w:rsidP="00EF2B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Students will need to be confident in identifying the correct sequence of sodium channel, potassium channel and sodium-potassium pump action during an action potential. Linking these activities to specific points on an action potential graph is often challenging.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70B84D1A" w14:textId="35138472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785AB1B4" w14:textId="5CB0632D" w:rsidR="007941BE" w:rsidRDefault="007941BE" w:rsidP="007941BE">
            <w:proofErr w:type="gramStart"/>
            <w:r>
              <w:t>Biochemistry  Biotechnology</w:t>
            </w:r>
            <w:proofErr w:type="gramEnd"/>
            <w:r>
              <w:t xml:space="preserve">  Forensics  Laboratory Work  Marine Biology  Medicine  Nursing  Occupational Therapy  </w:t>
            </w:r>
            <w:proofErr w:type="spellStart"/>
            <w:r>
              <w:t>Opthalmics</w:t>
            </w:r>
            <w:proofErr w:type="spellEnd"/>
            <w:r>
              <w:t xml:space="preserve"> and Orthoptics  Paramedical Science  Pharmacology  Physiotherapy  Prosthetics and Orthotics  Psychiatry  Radiography  Speech Therapy  Sports Science  Teaching  Veterinary Work  Zoology</w:t>
            </w:r>
          </w:p>
          <w:p w14:paraId="48CCC761" w14:textId="5B201877" w:rsidR="007941BE" w:rsidRDefault="007941BE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795765DE" w14:textId="77777777" w:rsidR="00EF2BC9" w:rsidRPr="00351843" w:rsidRDefault="00EF2BC9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E5A26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F170" w14:textId="77777777" w:rsidR="00806E55" w:rsidRDefault="00806E55" w:rsidP="00017B74">
      <w:pPr>
        <w:spacing w:after="0" w:line="240" w:lineRule="auto"/>
      </w:pPr>
      <w:r>
        <w:separator/>
      </w:r>
    </w:p>
  </w:endnote>
  <w:endnote w:type="continuationSeparator" w:id="0">
    <w:p w14:paraId="0A91843F" w14:textId="77777777" w:rsidR="00806E55" w:rsidRDefault="00806E5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98D4" w14:textId="77777777" w:rsidR="00806E55" w:rsidRDefault="00806E55" w:rsidP="00017B74">
      <w:pPr>
        <w:spacing w:after="0" w:line="240" w:lineRule="auto"/>
      </w:pPr>
      <w:r>
        <w:separator/>
      </w:r>
    </w:p>
  </w:footnote>
  <w:footnote w:type="continuationSeparator" w:id="0">
    <w:p w14:paraId="783BA68C" w14:textId="77777777" w:rsidR="00806E55" w:rsidRDefault="00806E5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069FD"/>
    <w:multiLevelType w:val="hybridMultilevel"/>
    <w:tmpl w:val="DDD4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56924"/>
    <w:multiLevelType w:val="hybridMultilevel"/>
    <w:tmpl w:val="96F8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652E"/>
    <w:rsid w:val="00017B74"/>
    <w:rsid w:val="0007415F"/>
    <w:rsid w:val="000D6C87"/>
    <w:rsid w:val="0010136A"/>
    <w:rsid w:val="00157B4C"/>
    <w:rsid w:val="001C6BCB"/>
    <w:rsid w:val="001E5A26"/>
    <w:rsid w:val="001F3D17"/>
    <w:rsid w:val="00227ECC"/>
    <w:rsid w:val="002B0167"/>
    <w:rsid w:val="00345941"/>
    <w:rsid w:val="00351843"/>
    <w:rsid w:val="003E6B6F"/>
    <w:rsid w:val="00440E6C"/>
    <w:rsid w:val="004879F5"/>
    <w:rsid w:val="00487E07"/>
    <w:rsid w:val="004B0E61"/>
    <w:rsid w:val="00530FB1"/>
    <w:rsid w:val="005949E3"/>
    <w:rsid w:val="005F2B3F"/>
    <w:rsid w:val="005F4E99"/>
    <w:rsid w:val="007146EF"/>
    <w:rsid w:val="007941BE"/>
    <w:rsid w:val="00806E55"/>
    <w:rsid w:val="00811F13"/>
    <w:rsid w:val="0083335D"/>
    <w:rsid w:val="00847F4E"/>
    <w:rsid w:val="00867D25"/>
    <w:rsid w:val="008B1952"/>
    <w:rsid w:val="008E39B4"/>
    <w:rsid w:val="009A7682"/>
    <w:rsid w:val="009F1971"/>
    <w:rsid w:val="00A23F48"/>
    <w:rsid w:val="00A314F1"/>
    <w:rsid w:val="00A44259"/>
    <w:rsid w:val="00B16723"/>
    <w:rsid w:val="00BA166B"/>
    <w:rsid w:val="00BA646E"/>
    <w:rsid w:val="00C928C4"/>
    <w:rsid w:val="00CA59AB"/>
    <w:rsid w:val="00DB0006"/>
    <w:rsid w:val="00DC23A5"/>
    <w:rsid w:val="00E5371A"/>
    <w:rsid w:val="00EF2BC9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00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52E"/>
  </w:style>
  <w:style w:type="character" w:customStyle="1" w:styleId="eop">
    <w:name w:val="eop"/>
    <w:basedOn w:val="DefaultParagraphFont"/>
    <w:rsid w:val="000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A2EAD-9900-4D9C-BCEE-BFB2A2E1886D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9</cp:revision>
  <cp:lastPrinted>2022-05-09T09:04:00Z</cp:lastPrinted>
  <dcterms:created xsi:type="dcterms:W3CDTF">2022-06-16T11:00:00Z</dcterms:created>
  <dcterms:modified xsi:type="dcterms:W3CDTF">2022-10-17T14:42:00Z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